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32379E0B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753591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1AB6DCEC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744603CD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3D0CC6E9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2E37A0CD" w14:textId="376E252D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 xml:space="preserve">Disgrifiad Swydd: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Darlithydd mewn Cemeg Gyfrifiadol</w:t>
      </w:r>
    </w:p>
    <w:p w:rsidR="00D50481" w:rsidRPr="00703D00" w:rsidP="00BF1362" w14:paraId="2720AF3E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55D65ED9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9B338E" w:rsidRPr="00C85711" w:rsidP="009B338E" w14:paraId="2BEF9E0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Coleg/Ysgol:</w:t>
            </w:r>
          </w:p>
        </w:tc>
        <w:tc>
          <w:tcPr>
            <w:tcW w:w="8364" w:type="dxa"/>
          </w:tcPr>
          <w:p w:rsidR="009B338E" w:rsidRPr="006564CD" w:rsidP="009B338E" w14:paraId="228EA82C" w14:textId="133DE99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DC609D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Y Gyfadran Gwyddoniaeth a Pheirianneg</w:t>
            </w:r>
          </w:p>
        </w:tc>
      </w:tr>
      <w:tr w14:paraId="3C22ABBA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9B338E" w:rsidRPr="00C85711" w:rsidP="009B338E" w14:paraId="1C0193E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9B338E" w:rsidRPr="006564CD" w:rsidP="009B338E" w14:paraId="039311E8" w14:textId="0E4858D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Cemeg</w:t>
            </w:r>
          </w:p>
        </w:tc>
      </w:tr>
      <w:tr w14:paraId="2A312640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1922CC2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6564CD" w:rsidP="006564CD" w14:paraId="66FD9B06" w14:textId="77FCE5EA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£38,205 i £44,263 y flwyddyn, ynghyd â buddion Cynllun Blwydd-dal y Prifysgolion (USS)</w:t>
            </w:r>
          </w:p>
        </w:tc>
      </w:tr>
      <w:tr w14:paraId="18668D8F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9B338E" w:rsidRPr="00C85711" w:rsidP="009B338E" w14:paraId="3A951C66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9B338E" w:rsidRPr="006564CD" w:rsidP="009B338E" w14:paraId="056F42E9" w14:textId="6FE7DE9E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DC609D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Amser Llawn – 35 awr yr wythnos (byddwn hefyd yn ystyried ymgeiswyr rhan-amser neu rannu swydd)</w:t>
            </w:r>
            <w:r w:rsidRPr="00DC609D">
              <w:rPr>
                <w:rtl w:val="0"/>
                <w:lang w:val="cy-GB"/>
              </w:rPr>
              <w:t xml:space="preserve"> </w:t>
            </w:r>
          </w:p>
        </w:tc>
      </w:tr>
      <w:tr w14:paraId="7B8B3F9D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9B338E" w:rsidRPr="00C85711" w:rsidP="009B338E" w14:paraId="3151612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9B338E" w:rsidRPr="006564CD" w:rsidP="009B338E" w14:paraId="1A098DA2" w14:textId="139A14D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DC609D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Swydd barhaol yw hon. </w:t>
            </w:r>
          </w:p>
        </w:tc>
      </w:tr>
      <w:tr w14:paraId="5B23FD3C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9B338E" w:rsidRPr="00C85711" w:rsidP="009B338E" w14:paraId="281459F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9B338E" w:rsidRPr="006564CD" w:rsidP="009B338E" w14:paraId="2FCCB40C" w14:textId="4C9FF5A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DC609D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Lleolir y swydd hon ar Gampws Parc Singleton</w:t>
            </w:r>
          </w:p>
        </w:tc>
      </w:tr>
    </w:tbl>
    <w:p w:rsidR="002D0DDE" w:rsidRPr="00703D00" w:rsidP="00CD4031" w14:paraId="0EB6CE93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36099C80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365C60" w:rsidP="00365C60" w14:paraId="161FA6D6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411FEC" w:rsidRPr="00DC609D" w:rsidP="00411FEC" w14:paraId="5F223330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C609D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Er mwyn cyflawni ei huchelgais cynaliadwy o fod yn un o'r 30 o brifysgolion gorau, mae angen ar Brifysgol Abertawe weithlu â'r sgiliau amrywiol angenrheidiol i sicrhau ei bod yn gallu cyflawni rhagoriaeth mewn ymchwil, addysgu, dysgu a phrofiad ehangach y myfyrwyr, ac i fod yn bwerdy ar gyfer economi'r rhanbarth ac yn rhyngwladol.</w:t>
            </w:r>
          </w:p>
          <w:p w:rsidR="00411FEC" w:rsidRPr="00DC609D" w:rsidP="00411FEC" w14:paraId="3E12AC6D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C609D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Gweledigaeth Prifysgol Abertawe yw gweddnewid bywydau pobl, a'u dyfodol, drwy ddarparu amgylchedd academaidd rhagorol ynghyd â chydbwysedd rhwng rhagoriaeth ymchwil ac addysgu o'r radd flaenaf, gan ysgogi effaith sy'n cael ei galluogi drwy gydweithredu mewn ffordd effeithiol yn rhanbarthol ac yn fyd-eang. </w:t>
            </w:r>
          </w:p>
          <w:p w:rsidR="00411FEC" w:rsidP="00411FEC" w14:paraId="6D6DB254" w14:textId="282DF6D7">
            <w:pPr>
              <w:bidi w:val="0"/>
              <w:spacing w:after="120"/>
              <w:rPr>
                <w:rFonts w:ascii="Times" w:eastAsia="Times New Roman" w:hAnsi="Times" w:cs="Times"/>
                <w:color w:val="000000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Mae'r Adran Gemeg yn un o bum adran yn yr Ysgol Peirianneg a’r Gwyddorau Cymhwysol (SEAS), dan arweiniad yr Athro Serena Margadonna. Mae SEAS</w:t>
            </w:r>
            <w:r w:rsidRPr="005B4AD3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rtl w:val="0"/>
                <w:lang w:val="cy-GB" w:eastAsia="en-GB"/>
              </w:rPr>
              <w:t xml:space="preserve"> yn cynnig cyfuniad dyfeisgar o Beirianneg Fiofeddygol, Peirianneg Gemegol, Cemeg, Gwyddor Deunyddiau a Pheirianneg a'r Gwyddorau Chwaraeon ac Ymarfer Corff i gynnig arloesedd mewn meysydd amlddisgyblaethol a mynd i'r afael â heriau cymdeithasol byd-eang o ran Ynni a’r Amgylchedd, Adnoddau a Chynaliadwyedd a Gofal Iechyd a Pherfformiad Dynol. Bydd y sefyllfa bresennol yn cryfhau'r ymagwedd ryngddisgyblaethol hon ymhellach drwy gynnig arbenigedd cemeg gyfrifiadol sy'n berthnasol i'r Ysgol a'r Brifysgol yn ehangach. Mae gan SEAS nodau addysgu ac ymchwil uchelgeisiol i greu dysgwyr gydol oes sy'n barod ar gyfer yr economi fyd-eang ac i wasanaethu cymdeithasau lleol, cenedlaethol a byd-eang i wynebu heriau’r presennol a'r dyfodol</w:t>
            </w:r>
            <w:r>
              <w:rPr>
                <w:rFonts w:ascii="Times" w:eastAsia="Times New Roman" w:hAnsi="Times" w:cs="Times"/>
                <w:color w:val="000000"/>
                <w:szCs w:val="24"/>
                <w:bdr w:val="none" w:sz="0" w:space="0" w:color="auto" w:frame="1"/>
                <w:rtl w:val="0"/>
                <w:lang w:val="cy-GB" w:eastAsia="en-GB"/>
              </w:rPr>
              <w:t>.</w:t>
            </w:r>
          </w:p>
          <w:p w:rsidR="000210E9" w:rsidRPr="00365C60" w:rsidP="00411FEC" w14:paraId="57501384" w14:textId="176561CF">
            <w:pPr>
              <w:bidi w:val="0"/>
              <w:spacing w:after="120"/>
              <w:rPr>
                <w:rFonts w:asciiTheme="minorHAnsi" w:eastAsiaTheme="minorEastAsia" w:hAnsiTheme="minorHAnsi"/>
                <w:color w:val="000000"/>
                <w:sz w:val="22"/>
                <w:szCs w:val="22"/>
                <w:lang w:eastAsia="en-GB"/>
              </w:rPr>
            </w:pPr>
            <w:r w:rsidRPr="00A044DE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Mae'r Adran Gemeg yn gwahodd ceisiadau gan unigolion uchelgeisiol a dawnus i ymuno â'n tîm academaidd yn 2023/24. Dyma gyfle cyffrous i ymuno â Chyfadran Gwyddoniaeth a Pheirianneg fywiog ac uchel ei pharch yn y DU, â lleoliad campws glan môr hyfryd yn ninas Abertawe. Mae Abertawe'n ddinas arfordirol hardd a chosmopolitan sy'n cynnig ansawdd bywyd rhagorol. Mae ein hamgylchedd amlddisgyblaethol, ysgogol, yn galluogi ac yn ysbrydoli rhagoriaeth.</w:t>
            </w:r>
          </w:p>
        </w:tc>
      </w:tr>
      <w:tr w14:paraId="7DF2E4E4" w14:textId="77777777" w:rsidTr="006D614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411FEC" w:rsidRPr="00365C60" w:rsidP="00411FEC" w14:paraId="29C5A368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gefndirol</w:t>
            </w:r>
          </w:p>
        </w:tc>
        <w:tc>
          <w:tcPr>
            <w:tcW w:w="9356" w:type="dxa"/>
          </w:tcPr>
          <w:p w:rsidR="00411FEC" w:rsidP="00831094" w14:paraId="63CD65B3" w14:textId="3820F742">
            <w:pPr>
              <w:bidi w:val="0"/>
              <w:spacing w:after="12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8B6535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Mae'r Adran Gemeg yn yr Ysgol Peirianneg a'r Gwyddorau Cymhwysol (SEAS) yn cyflwyno ymchwil ragorol yn rhyngwladol ac o'r radd flaenaf mewn cemeg polymerau a deunyddiau, ynni gwyrdd, storio ynni, lled-ddargludyddion a chemeg mewn cymwysiadau iechyd. </w:t>
            </w:r>
            <w:r w:rsidRPr="008B6535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Y prif bwyslais ar gyfer yr ymgeisydd llwyddiannus fydd cyflawni rhagoriaeth ymchwil, llunio cyhoeddiadau sy'n arwain y ffordd yn fyd-eang, sicrhau cyllid cystadleuol a chreu effaith yn y byd go iawn. </w:t>
            </w:r>
            <w:r w:rsidRPr="008B6535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Rydym yn gwahodd ceisiadau gan ymgeiswyr hynod frwdfrydig gydag arbenigedd ymchwil cryf mewn unrhyw faes cemeg gyfrifiadol gymhwysol a modelu moleciwlaidd, er rhoddir blaenoriaeth i ymgeiswyr gyda ffocws penodol ar o leiaf un o'r meysydd cynaeafu a storio ynni, deunyddiau (gan gynnwys bioddeunyddiau), lled-ddargludyddion, cemeg feddygol a'r defnydd o ddysgu peirianyddol ac AI ar gyfer darganfyddiadau cemegol. </w:t>
            </w:r>
            <w:r w:rsidRPr="008B6535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Ar ben hynny, bydd yr ymgeisydd llwyddiannus yn cynnig arbenigedd a sgiliau a fydd yn ategu ein cryfderau presennol yn SEAS, a thrwy hynny, yn gwella ein gallu ar draws y gyfadran. </w:t>
            </w:r>
          </w:p>
          <w:p w:rsidR="007E534E" w:rsidRPr="007E534E" w:rsidP="007E534E" w14:paraId="3B4C7DDD" w14:textId="1A44D66E">
            <w:pPr>
              <w:bidi w:val="0"/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4590D15A">
              <w:rPr>
                <w:rFonts w:ascii="Calibri" w:eastAsia="Calibri" w:hAnsi="Calibri" w:cs="Calibri"/>
                <w:sz w:val="22"/>
                <w:szCs w:val="22"/>
                <w:rtl w:val="0"/>
                <w:lang w:val="cy-GB"/>
              </w:rPr>
              <w:t xml:space="preserve">Am ragor o fanylion am y cyfleusterau yn yr Adran Gemeg ym Mhrifysgol Abertawe, </w:t>
            </w:r>
            <w:r>
              <w:fldChar w:fldCharType="begin"/>
            </w:r>
            <w:r>
              <w:instrText xml:space="preserve"> HYPERLINK "https://www.swansea.ac.uk/chemistry/" </w:instrText>
            </w:r>
            <w:r>
              <w:fldChar w:fldCharType="separate"/>
            </w:r>
            <w:r w:rsidRPr="003A3AE2">
              <w:rPr>
                <w:rStyle w:val="Hyperlink"/>
                <w:rFonts w:ascii="Calibri" w:eastAsia="Calibri" w:hAnsi="Calibri" w:cs="Calibri"/>
                <w:sz w:val="22"/>
                <w:szCs w:val="22"/>
                <w:u w:val="single"/>
                <w:rtl w:val="0"/>
                <w:lang w:val="cy-GB"/>
              </w:rPr>
              <w:t>cliciwch yma</w:t>
            </w:r>
            <w:r>
              <w:fldChar w:fldCharType="end"/>
            </w:r>
            <w:r w:rsidRPr="4590D15A">
              <w:rPr>
                <w:rFonts w:ascii="Calibri" w:eastAsia="Calibri" w:hAnsi="Calibri" w:cs="Calibri"/>
                <w:sz w:val="22"/>
                <w:szCs w:val="22"/>
                <w:rtl w:val="0"/>
                <w:lang w:val="cy-GB"/>
              </w:rPr>
              <w:t>.</w:t>
            </w:r>
          </w:p>
          <w:p w:rsidR="00411FEC" w:rsidP="007E534E" w14:paraId="3A86F632" w14:textId="21FA3C1E">
            <w:pPr>
              <w:bidi w:val="0"/>
              <w:spacing w:after="12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22181C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Yn ogystal ag ymdrechion ymchwil, bydd yr ymgeisydd llwyddiannus yn cyfrannu at addysgu Cemeg Ffisegol, Ddamcaniaethol a Chyfrifiadol. </w:t>
            </w:r>
            <w:r>
              <w:rPr>
                <w:rtl w:val="0"/>
                <w:lang w:val="cy-GB"/>
              </w:rPr>
              <w:t xml:space="preserve"> </w:t>
            </w:r>
            <w:r w:rsidRPr="0022181C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Rydym ni'n gwerthfawrogi'n fawr unigolion sy'n blaenoriaethu profiad dysgu'r myfyrwyr ac yn cyfrannu at ddatblygu cwricwlwm cyfoes, wedi'i seilio ar brofiadau labordy ymarferol a dysgu sy'n seiliedig ar brosiect. </w:t>
            </w:r>
            <w:r w:rsidRPr="0022181C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Bydd y swydd yn gwella profiad myfyrwyr yn gyffredinol, ar lefelau israddedig ac ôl-raddedig. </w:t>
            </w:r>
          </w:p>
          <w:p w:rsidR="00411FEC" w:rsidRPr="008B6535" w:rsidP="00831094" w14:paraId="1719216B" w14:textId="1AD19803">
            <w:pPr>
              <w:bidi w:val="0"/>
              <w:spacing w:after="120"/>
              <w:rPr>
                <w:rFonts w:asciiTheme="minorHAnsi" w:hAnsiTheme="minorHAnsi" w:cstheme="minorHAnsi"/>
                <w:sz w:val="22"/>
                <w:szCs w:val="18"/>
              </w:rPr>
            </w:pPr>
            <w:r w:rsidRPr="008B6535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 xml:space="preserve">Bydd gan ddeiliad delfrydol y swydd hanes cryf ar lefel genedlaethol a rhyngwladol a bydd yn llwyddo i sefydlu ei raglen ymchwil annibynnol, gydweithredol ag effaith uchel. </w:t>
            </w:r>
            <w:r w:rsidRPr="008B6535">
              <w:rPr>
                <w:rFonts w:asciiTheme="minorHAnsi" w:hAnsiTheme="minorHAnsi" w:cstheme="minorHAnsi"/>
                <w:sz w:val="22"/>
                <w:szCs w:val="18"/>
                <w:rtl w:val="0"/>
                <w:lang w:val="cy-GB"/>
              </w:rPr>
              <w:t>Bydd rhaglen ymchwil sy'n rhoi pwyslais ar anghenion diwydiant ac sy'n canolbwyntio ar drosglwyddo gwybodaeth ac arloesedd yn cael ei hystyried yn ffafriol.</w:t>
            </w:r>
          </w:p>
          <w:p w:rsidR="00411FEC" w:rsidRPr="007E534E" w:rsidP="007E534E" w14:paraId="1E1A9C82" w14:textId="23665E3B">
            <w:pPr>
              <w:bidi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rtl w:val="0"/>
                <w:lang w:val="cy-GB"/>
              </w:rPr>
              <w:t xml:space="preserve">Fel cyflogwr cyfle cyfartal, rydym yn croesawu ceisiadau gan bawb sy'n briodol gymwysedig. </w:t>
            </w:r>
            <w:r>
              <w:rPr>
                <w:rFonts w:asciiTheme="minorHAnsi" w:hAnsiTheme="minorHAnsi" w:cs="Calibri"/>
                <w:sz w:val="22"/>
                <w:szCs w:val="22"/>
                <w:rtl w:val="0"/>
                <w:lang w:val="cy-GB"/>
              </w:rPr>
              <w:t xml:space="preserve">Croesewir ymholiadau anffurfiol a dylid eu cyfeirio at sylw'r Athro Owen J Guy (Pennaeth yr Adran Gemeg), </w:t>
            </w:r>
            <w:r>
              <w:fldChar w:fldCharType="begin"/>
            </w:r>
            <w:r>
              <w:instrText xml:space="preserve"> HYPERLINK "mailto:o.j.guy@swansea.ac.uk" </w:instrText>
            </w:r>
            <w:r>
              <w:fldChar w:fldCharType="separate"/>
            </w:r>
            <w:r w:rsidRPr="00E12DB3">
              <w:rPr>
                <w:rStyle w:val="Hyperlink"/>
                <w:rFonts w:ascii="Calibri" w:hAnsi="Calibri"/>
                <w:b/>
                <w:bCs/>
                <w:sz w:val="22"/>
                <w:szCs w:val="22"/>
                <w:u w:val="single"/>
                <w:rtl w:val="0"/>
                <w:lang w:val="cy-GB"/>
              </w:rPr>
              <w:t>o.j.guy@abertawe.ac.uk</w:t>
            </w:r>
            <w: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</w:tr>
      <w:tr w14:paraId="1C16859E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411FEC" w:rsidRPr="00365C60" w:rsidP="00411FEC" w14:paraId="6A43EB79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Llwybrau Gyrfa Academaidd</w:t>
            </w:r>
          </w:p>
        </w:tc>
        <w:tc>
          <w:tcPr>
            <w:tcW w:w="9356" w:type="dxa"/>
          </w:tcPr>
          <w:p w:rsidR="00411FEC" w:rsidRPr="00365C60" w:rsidP="00411FEC" w14:paraId="4AAD697B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Dyluniwyd cynllun y Llwybrau Gyrfa Academaidd i sicrhau bod cryfderau academaidd, boed mewn ymchwil, addysgu, profiad ehangach y myfyrwyr, arweinyddiaeth, neu arloesi ac ymgysylltu, i gyd yn cael eu cydnabod, eu datblygu, eu gwerthfawrogi a'u gwobrwyo mewn modd priodol.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Ceir tri llinyn academaidd uwch: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Addysgu ac Ysgolheictod Uwch;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Ymchwil Uwch;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ac Arloesi ac Ymgysylltu Uwch.</w:t>
            </w:r>
          </w:p>
          <w:p w:rsidR="00411FEC" w:rsidRPr="00365C60" w:rsidP="00411FEC" w14:paraId="79B47C6E" w14:textId="77777777">
            <w:pPr>
              <w:bidi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Lwybrau Gyrfa Academaidd, cliciwch </w:t>
            </w:r>
            <w:r>
              <w:fldChar w:fldCharType="begin"/>
            </w:r>
            <w:r>
              <w:instrText xml:space="preserve"> HYPERLINK "https://www.swansea.ac.uk/personnel/current-staff/academic-career-pathways/" </w:instrText>
            </w:r>
            <w:r>
              <w:fldChar w:fldCharType="separate"/>
            </w:r>
            <w:r w:rsidRPr="00365C60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. 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rhain yn darparu lefelau perfformiad dangosol ar gyfer yr holl staff academaidd, a gaiff eu defnyddio drwy gydol y broses recriwtio.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Lle ceir dangosyddion rhifiadol, caiff y rhain eu hasesu gan roi sylw i'r cam gyrfaol, yr oriau gwaith ac ymrwymiadau eraill. 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Gall y rhain gynnwys amgylchiadau personol neu weithgareddau sy'n ymwneud â gwaith y tu allan i'r gymuned academaidd, er enghraifft, mewn lleoliad diwydiannol neu glinigol.  </w:t>
            </w:r>
            <w:r w:rsidRPr="00365C60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croeso i chi nodi amgylchiadau unigol perthnasol megis saib yn eich gyrfa, cyfnodau o wyliau neu ar secondiad, neu absenoldebau eraill, y dylid eu hystyried, a sut mae'r rhain wedi effeithio ar ddatblygiad eich gyrfa.</w:t>
            </w:r>
          </w:p>
        </w:tc>
      </w:tr>
      <w:tr w14:paraId="6DCE179E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411FEC" w:rsidRPr="00365C60" w:rsidP="00411FEC" w14:paraId="2710C967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Prif Ddiben y Swydd: </w:t>
            </w: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Ymchwil Uwch</w:t>
            </w:r>
          </w:p>
          <w:p w:rsidR="00411FEC" w:rsidRPr="00365C60" w:rsidP="00411FEC" w14:paraId="4A0B4770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6" w:type="dxa"/>
          </w:tcPr>
          <w:p w:rsidR="00411FEC" w:rsidRPr="008815A2" w:rsidP="00411FEC" w14:paraId="5E8E4BFC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="Arial" w:hAnsi="Arial"/>
                <w:u w:val="single"/>
              </w:rPr>
            </w:pPr>
            <w:r w:rsidRPr="008815A2">
              <w:rPr>
                <w:rFonts w:ascii="Calibri" w:hAnsi="Calibri"/>
                <w:u w:val="single"/>
                <w:rtl w:val="0"/>
                <w:lang w:val="cy-GB"/>
              </w:rPr>
              <w:t>Allbynnau a Gweithgareddau Ymchwil:</w:t>
            </w:r>
            <w:r w:rsidRPr="008815A2">
              <w:rPr>
                <w:rFonts w:ascii="Calibri" w:hAnsi="Calibri"/>
                <w:u w:val="none"/>
                <w:rtl w:val="0"/>
                <w:lang w:val="cy-GB"/>
              </w:rPr>
              <w:t xml:space="preserve"> Datblygu a rhaeadru allbynnau ymchwil mewn cyhoeddiadau o safon neu gyfryngau eraill.</w:t>
            </w:r>
          </w:p>
          <w:p w:rsidR="00411FEC" w:rsidRPr="008815A2" w:rsidP="00411FEC" w14:paraId="1405FA23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 w:rsidRPr="008815A2">
              <w:rPr>
                <w:rFonts w:ascii="Calibri" w:hAnsi="Calibri"/>
                <w:u w:val="single"/>
                <w:rtl w:val="0"/>
                <w:lang w:val="cy-GB"/>
              </w:rPr>
              <w:t>Prosiectau a Grantiau Ymchwil:</w:t>
            </w:r>
            <w:r w:rsidRPr="008815A2">
              <w:rPr>
                <w:rFonts w:ascii="Calibri" w:hAnsi="Calibri"/>
                <w:u w:val="none"/>
                <w:rtl w:val="0"/>
                <w:lang w:val="cy-GB"/>
              </w:rPr>
              <w:t xml:space="preserve"> Sicrhau adnoddau i fod yn sail i weithgareddau ymchwil a chyfrifoldeb dros ddylunio, cynllunio a rheoli rhaglen gynaliadwy o ymchwil ac ymgymryd ag ymchwiliadau gwreiddiol o fewn terfynau amser a chyllidebau cytunedig.</w:t>
            </w:r>
          </w:p>
          <w:p w:rsidR="00411FEC" w:rsidRPr="008815A2" w:rsidP="00411FEC" w14:paraId="4459C04B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bidi w:val="0"/>
              <w:spacing w:after="120"/>
              <w:jc w:val="both"/>
              <w:rPr>
                <w:rFonts w:asciiTheme="minorHAnsi" w:hAnsiTheme="minorHAnsi"/>
              </w:rPr>
            </w:pPr>
            <w:r w:rsidRPr="008815A2">
              <w:rPr>
                <w:rFonts w:ascii="Calibri" w:hAnsi="Calibri"/>
                <w:u w:val="single"/>
                <w:rtl w:val="0"/>
                <w:lang w:val="cy-GB"/>
              </w:rPr>
              <w:t>Parch:</w:t>
            </w:r>
            <w:r w:rsidRPr="008815A2">
              <w:rPr>
                <w:rFonts w:ascii="Calibri" w:hAnsi="Calibri"/>
                <w:u w:val="none"/>
                <w:rtl w:val="0"/>
                <w:lang w:val="cy-GB"/>
              </w:rPr>
              <w:t xml:space="preserve"> Cydnabyddiaeth am gyfraniad at y ddisgyblaeth drwy wneud cyfraniad personol at ddatblygiadau ymchwil.</w:t>
            </w:r>
          </w:p>
          <w:p w:rsidR="00411FEC" w:rsidRPr="00365C60" w:rsidP="00411FEC" w14:paraId="5E1F3200" w14:textId="4232E433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8815A2">
              <w:rPr>
                <w:rFonts w:ascii="Calibri" w:hAnsi="Calibri"/>
                <w:u w:val="single"/>
                <w:rtl w:val="0"/>
                <w:lang w:val="cy-GB"/>
              </w:rPr>
              <w:t>Goruchwylio a Datblygu Ymchwil Myfyrwyr Ôl-raddedig:</w:t>
            </w:r>
            <w:r w:rsidRPr="008815A2">
              <w:rPr>
                <w:rFonts w:ascii="Calibri" w:hAnsi="Calibri"/>
                <w:u w:val="none"/>
                <w:rtl w:val="0"/>
                <w:lang w:val="cy-GB"/>
              </w:rPr>
              <w:t xml:space="preserve"> Cyfrifoldeb dros oruchwylio ymchwil myfyrwyr ôl-raddedig yn effeithiol.</w:t>
            </w:r>
          </w:p>
        </w:tc>
      </w:tr>
      <w:tr w14:paraId="331CC67F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411FEC" w:rsidRPr="00365C60" w:rsidP="00411FEC" w14:paraId="166CFEA3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</w:t>
            </w:r>
          </w:p>
        </w:tc>
        <w:tc>
          <w:tcPr>
            <w:tcW w:w="9356" w:type="dxa"/>
          </w:tcPr>
          <w:p w:rsidR="00411FEC" w:rsidRPr="00365C60" w:rsidP="00411FEC" w14:paraId="6E717EF7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  <w:u w:val="single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 xml:space="preserve">Cyfrannu at ein Gweithgareddau: 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>Cyfranogi'n weithredol yn y gwaith o lunio penderfyniadau'r Coleg/Ysgol neu'r Brifysgol a chyfrannu at weithgareddau y tu allan i ymrwymiadau ymchwil, addysgu neu ysgolheictod uniongyrchol.</w:t>
            </w:r>
          </w:p>
          <w:p w:rsidR="00411FEC" w:rsidRPr="00365C60" w:rsidP="00411FEC" w14:paraId="1320BC13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Cymryd rhan mewn Gweithgareddau Proffesiynol: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Cyfrannu at weithgareddau proffesiynol sy'n berthnasol i'r ddisgyblaeth, drwy rwydweithio mewn cynadleddau neu ymwneud â grwpiau allanol.</w:t>
            </w:r>
          </w:p>
          <w:p w:rsidR="00411FEC" w:rsidRPr="00365C60" w:rsidP="00411FEC" w14:paraId="69DBDF92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eastAsia="Times New Roman" w:asciiTheme="minorHAnsi" w:hAnsiTheme="minorHAnsi"/>
                <w:lang w:val="en-US"/>
              </w:rPr>
            </w:pPr>
            <w:r w:rsidRPr="00365C60">
              <w:rPr>
                <w:rFonts w:ascii="Calibri" w:eastAsia="Times New Roman" w:hAnsi="Calibri"/>
                <w:u w:val="single"/>
                <w:rtl w:val="0"/>
                <w:lang w:val="cy-GB"/>
              </w:rPr>
              <w:t>Rheoli eich hun ac eraill</w:t>
            </w:r>
            <w:r w:rsidRPr="00365C60">
              <w:rPr>
                <w:rFonts w:ascii="Calibri" w:eastAsia="Times New Roman" w:hAnsi="Calibri"/>
                <w:u w:val="none"/>
                <w:rtl w:val="0"/>
                <w:lang w:val="cy-GB"/>
              </w:rPr>
              <w:t>: Cefnogi a galluogi datblygiad cydweithwyr, myfyrwyr a/neu chi eich hun.</w:t>
            </w:r>
          </w:p>
        </w:tc>
      </w:tr>
      <w:tr w14:paraId="0047088D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411FEC" w:rsidRPr="00365C60" w:rsidP="00411FEC" w14:paraId="71F7C38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sz w:val="22"/>
                <w:szCs w:val="22"/>
                <w:rtl w:val="0"/>
                <w:lang w:val="cy-GB"/>
              </w:rPr>
              <w:br w:type="page"/>
            </w: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Addysgu ac Ysgolheictod</w:t>
            </w:r>
          </w:p>
        </w:tc>
        <w:tc>
          <w:tcPr>
            <w:tcW w:w="9356" w:type="dxa"/>
          </w:tcPr>
          <w:p w:rsidR="00411FEC" w:rsidRPr="00365C60" w:rsidP="00411FEC" w14:paraId="491550F6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Addysgu ac Adolygu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: Gweithio'n effeithiol i addysgu, asesu a sicrhau ansawdd modiwlau neu gydrannau cyfatebol eraill yn y portffolio o gyrsiau a addysgir. 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>Adolygu cynnwys a deunyddiau cyrsiau, a datblygu, llunio a diweddaru deunyddiau yn unol â safonau ansawdd.</w:t>
            </w:r>
          </w:p>
          <w:p w:rsidR="00411FEC" w:rsidRPr="00365C60" w:rsidP="00411FEC" w14:paraId="51CFC050" w14:textId="77777777">
            <w:pPr>
              <w:pStyle w:val="ListParagraph"/>
              <w:numPr>
                <w:ilvl w:val="0"/>
                <w:numId w:val="36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="Calibri" w:eastAsia="Times New Roman" w:hAnsi="Calibri"/>
                <w:u w:val="single"/>
                <w:rtl w:val="0"/>
                <w:lang w:val="cy-GB"/>
              </w:rPr>
              <w:t>Arloesedd ac Effaith Addysgu:</w:t>
            </w:r>
            <w:r w:rsidRPr="00365C60">
              <w:rPr>
                <w:rFonts w:ascii="Calibri" w:eastAsia="Times New Roman" w:hAnsi="Calibri"/>
                <w:u w:val="none"/>
                <w:rtl w:val="0"/>
                <w:lang w:val="cy-GB"/>
              </w:rPr>
              <w:t xml:space="preserve"> </w:t>
            </w:r>
            <w:r w:rsidRPr="00365C60">
              <w:rPr>
                <w:rFonts w:asciiTheme="minorHAnsi" w:hAnsiTheme="minorHAnsi"/>
                <w:rtl w:val="0"/>
                <w:lang w:val="cy-GB"/>
              </w:rPr>
              <w:t xml:space="preserve">Arloesedd addysgu sy’n seiliedig ar ymarfer sy’n gyfoes ac wedi’i lywio gan ymchwil neu arfer proffesiynol. </w:t>
            </w:r>
          </w:p>
          <w:p w:rsidR="00411FEC" w:rsidRPr="00365C60" w:rsidP="00411FEC" w14:paraId="2A1199D3" w14:textId="77777777">
            <w:pPr>
              <w:pStyle w:val="ListParagraph"/>
              <w:numPr>
                <w:ilvl w:val="0"/>
                <w:numId w:val="36"/>
              </w:numPr>
              <w:tabs>
                <w:tab w:val="left" w:pos="878"/>
              </w:tabs>
              <w:bidi w:val="0"/>
              <w:jc w:val="both"/>
              <w:rPr>
                <w:rFonts w:eastAsia="Times New Roman" w:asciiTheme="minorHAnsi" w:hAnsiTheme="minorHAnsi"/>
              </w:rPr>
            </w:pPr>
            <w:r w:rsidRPr="00365C60">
              <w:rPr>
                <w:rFonts w:ascii="Calibri" w:hAnsi="Calibri"/>
                <w:u w:val="single"/>
                <w:rtl w:val="0"/>
                <w:lang w:val="cy-GB"/>
              </w:rPr>
              <w:t>Gwella a Chymhwyso Ymarfer:</w:t>
            </w:r>
            <w:r w:rsidRPr="00365C60">
              <w:rPr>
                <w:rFonts w:ascii="Calibri" w:hAnsi="Calibri"/>
                <w:u w:val="none"/>
                <w:rtl w:val="0"/>
                <w:lang w:val="cy-GB"/>
              </w:rPr>
              <w:t xml:space="preserve"> Cyfrifoldeb am wella ymarfer addysgu personol.</w:t>
            </w:r>
          </w:p>
        </w:tc>
      </w:tr>
      <w:tr w14:paraId="58851CAA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411FEC" w:rsidRPr="00365C60" w:rsidP="00411FEC" w14:paraId="401FB4FB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411FEC" w:rsidRPr="00365C60" w:rsidP="00411FEC" w14:paraId="1B6EDE06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 xml:space="preserve">Hyrwyddo cydraddoldeb ac amrywiaeth mewn arferion gwaith a chynnal perthnasoedd gweithio cadarnhaol. </w:t>
            </w:r>
          </w:p>
          <w:p w:rsidR="00411FEC" w:rsidRPr="00365C60" w:rsidP="00411FEC" w14:paraId="07485012" w14:textId="77777777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:rsidR="00411FEC" w:rsidRPr="00E15E45" w:rsidP="00411FEC" w14:paraId="1612564A" w14:textId="0AB3E7F2">
            <w:pPr>
              <w:pStyle w:val="ListParagraph"/>
              <w:numPr>
                <w:ilvl w:val="0"/>
                <w:numId w:val="36"/>
              </w:numPr>
              <w:bidi w:val="0"/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</w:tc>
      </w:tr>
    </w:tbl>
    <w:p w:rsidR="00180B7F" w:rsidP="00365C60" w14:paraId="05A98B8D" w14:textId="77777777">
      <w:pPr>
        <w:bidi w:val="0"/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2623"/>
        <w:gridCol w:w="2623"/>
        <w:gridCol w:w="2835"/>
        <w:gridCol w:w="2835"/>
      </w:tblGrid>
      <w:tr w14:paraId="3A766EE0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280"/>
        </w:trPr>
        <w:tc>
          <w:tcPr>
            <w:tcW w:w="5246" w:type="dxa"/>
            <w:gridSpan w:val="2"/>
            <w:shd w:val="clear" w:color="auto" w:fill="366091" w:themeFill="accent1" w:themeFillShade="BF"/>
            <w:hideMark/>
          </w:tcPr>
          <w:p w:rsidR="00180B7F" w:rsidRPr="00365C60" w:rsidP="00365C60" w14:paraId="545B5DAA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Meini Prawf y Fanyleb Person</w:t>
            </w:r>
          </w:p>
        </w:tc>
        <w:tc>
          <w:tcPr>
            <w:tcW w:w="5670" w:type="dxa"/>
            <w:gridSpan w:val="2"/>
            <w:shd w:val="clear" w:color="auto" w:fill="366091" w:themeFill="accent1" w:themeFillShade="BF"/>
            <w:hideMark/>
          </w:tcPr>
          <w:p w:rsidR="00180B7F" w:rsidRPr="00365C60" w:rsidP="00365C60" w14:paraId="50251A80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65C60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Tystiolaeth nodweddiadol: </w:t>
            </w:r>
          </w:p>
        </w:tc>
      </w:tr>
      <w:tr w14:paraId="47008CE9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196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6C886110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Cymwysterau</w:t>
            </w:r>
          </w:p>
        </w:tc>
      </w:tr>
      <w:tr w14:paraId="77E71F02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697"/>
        </w:trPr>
        <w:tc>
          <w:tcPr>
            <w:tcW w:w="5246" w:type="dxa"/>
            <w:gridSpan w:val="2"/>
          </w:tcPr>
          <w:p w:rsidR="00180B7F" w:rsidRPr="00365C60" w:rsidP="00365C60" w14:paraId="7B2AA846" w14:textId="5C06C4C9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rtl w:val="0"/>
                <w:lang w:val="cy-GB"/>
              </w:rPr>
              <w:t xml:space="preserve">PhD mewn maes pwnc perthnasol 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2E867945" w14:textId="7CB5133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A068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PhD mewn maes pwnc perthnasol (e.e. </w:t>
            </w:r>
            <w:r w:rsidRPr="008A0689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Cemeg)</w:t>
            </w:r>
          </w:p>
        </w:tc>
      </w:tr>
      <w:tr w14:paraId="321F264B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1118"/>
        </w:trPr>
        <w:tc>
          <w:tcPr>
            <w:tcW w:w="5246" w:type="dxa"/>
            <w:gridSpan w:val="2"/>
          </w:tcPr>
          <w:p w:rsidR="00180B7F" w:rsidRPr="00365C60" w:rsidP="00365C60" w14:paraId="789D92D9" w14:textId="77777777">
            <w:pPr>
              <w:pStyle w:val="ListParagraph"/>
              <w:numPr>
                <w:ilvl w:val="0"/>
                <w:numId w:val="43"/>
              </w:numPr>
              <w:bidi w:val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rtl w:val="0"/>
                <w:lang w:val="cy-GB"/>
              </w:rPr>
              <w:t>Cymhwyster addysgu cydnabyddedig a fyddai'n arwain at Gymrodoriaeth yr Academi Addysg Uwch neu ymrwymiad i gyflawni hyn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50178A3D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Os nad oes gennych gymhwyster addysgu cydnabyddedig, bydd angen tystiolaeth o ymrwymiad i weithio tuag at Gymrodoriaeth yr Academi Addysg Uwch neu gymhwyster cyfwerth.</w:t>
            </w:r>
          </w:p>
        </w:tc>
      </w:tr>
      <w:tr w14:paraId="39FF6BB1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218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700CE6CE" w14:textId="77777777">
            <w:pPr>
              <w:tabs>
                <w:tab w:val="left" w:pos="988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Ymchwil Uwch</w:t>
            </w:r>
          </w:p>
        </w:tc>
      </w:tr>
      <w:tr w14:paraId="60F8856C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709"/>
        </w:trPr>
        <w:tc>
          <w:tcPr>
            <w:tcW w:w="5246" w:type="dxa"/>
            <w:gridSpan w:val="2"/>
          </w:tcPr>
          <w:p w:rsidR="00A80104" w:rsidRPr="00365C60" w:rsidP="00A80104" w14:paraId="16D32CB6" w14:textId="72838188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rtl w:val="0"/>
                <w:lang w:val="cy-GB"/>
              </w:rPr>
              <w:t>Cofnod o allbynnau ymchwil a'u cylchredeg ar ffurf cyhoeddiadau o safon neu gyfryngau eraill.</w:t>
            </w:r>
          </w:p>
        </w:tc>
        <w:tc>
          <w:tcPr>
            <w:tcW w:w="5670" w:type="dxa"/>
            <w:gridSpan w:val="2"/>
          </w:tcPr>
          <w:p w:rsidR="00A80104" w:rsidRPr="00365C60" w:rsidP="00A80104" w14:paraId="0F80F30A" w14:textId="3A0D40DB">
            <w:pPr>
              <w:bidi w:val="0"/>
              <w:rPr>
                <w:rFonts w:eastAsia="Times New Roman"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Pedwar allbwn o safon rhagoriaeth ryngwladol (mae diffiniadau REF2021 Cyngor Cyllido Addysg Uwch Lloegr yn cynnig eglurder), neu’r gallu i gyflawni hyn o fewn cyfnod o bum mlynedd. </w:t>
            </w:r>
          </w:p>
        </w:tc>
      </w:tr>
      <w:tr w14:paraId="4184CCC4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979"/>
        </w:trPr>
        <w:tc>
          <w:tcPr>
            <w:tcW w:w="5246" w:type="dxa"/>
            <w:gridSpan w:val="2"/>
          </w:tcPr>
          <w:p w:rsidR="00A80104" w:rsidRPr="00365C60" w:rsidP="00A80104" w14:paraId="39236251" w14:textId="601B29F2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rtl w:val="0"/>
                <w:lang w:val="cy-GB"/>
              </w:rPr>
              <w:t>Tystiolaeth o lwyddo neu feddu ar y potensial i lwyddo i sicrhau adnoddau i ategu ymchwil wreiddiol.</w:t>
            </w:r>
          </w:p>
        </w:tc>
        <w:tc>
          <w:tcPr>
            <w:tcW w:w="5670" w:type="dxa"/>
            <w:gridSpan w:val="2"/>
          </w:tcPr>
          <w:p w:rsidR="00A80104" w:rsidRPr="00365C60" w:rsidP="00A80104" w14:paraId="1D7F8E5A" w14:textId="64FABD54">
            <w:pPr>
              <w:tabs>
                <w:tab w:val="left" w:pos="988"/>
              </w:tabs>
              <w:bidi w:val="0"/>
              <w:rPr>
                <w:rFonts w:eastAsia="Times New Roman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Ceisiadau am grantiau ymchwil fel Prif Ymchwilydd neu Gyd-ymchwilydd neu ddangos sut byddwch yn cyflawni hyn, gydag o leiaf un dyfarniad llwyddiannus o fewn tair blynedd.</w:t>
            </w:r>
          </w:p>
        </w:tc>
      </w:tr>
      <w:tr w14:paraId="4C3FD517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985"/>
        </w:trPr>
        <w:tc>
          <w:tcPr>
            <w:tcW w:w="5246" w:type="dxa"/>
            <w:gridSpan w:val="2"/>
          </w:tcPr>
          <w:p w:rsidR="00A80104" w:rsidRPr="00365C60" w:rsidP="00A80104" w14:paraId="1EB04C47" w14:textId="25DDAD06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rtl w:val="0"/>
                <w:lang w:val="cy-GB"/>
              </w:rPr>
              <w:t>Tystiolaeth o gydnabyddiaeth am gyfrannu at y ddisgyblaeth.</w:t>
            </w:r>
          </w:p>
        </w:tc>
        <w:tc>
          <w:tcPr>
            <w:tcW w:w="5670" w:type="dxa"/>
            <w:gridSpan w:val="2"/>
          </w:tcPr>
          <w:p w:rsidR="00A80104" w:rsidRPr="00365C60" w:rsidP="00A80104" w14:paraId="61170C4D" w14:textId="6B617664">
            <w:pPr>
              <w:bidi w:val="0"/>
              <w:rPr>
                <w:rFonts w:eastAsia="Times New Roman"/>
                <w:i/>
                <w:sz w:val="22"/>
                <w:szCs w:val="22"/>
                <w:lang w:val="en-US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O leiaf un cyflwyniad mewn cynhadledd â chyrhaeddiad cenedlaethol neu ryngwladol o fewn cyfnod o dair blynedd </w:t>
            </w:r>
          </w:p>
        </w:tc>
      </w:tr>
      <w:tr w14:paraId="225F7440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1085"/>
        </w:trPr>
        <w:tc>
          <w:tcPr>
            <w:tcW w:w="5246" w:type="dxa"/>
            <w:gridSpan w:val="2"/>
          </w:tcPr>
          <w:p w:rsidR="00A80104" w:rsidRPr="00365C60" w:rsidP="00A80104" w14:paraId="47DEBB81" w14:textId="697143E9">
            <w:pPr>
              <w:pStyle w:val="ListParagraph"/>
              <w:numPr>
                <w:ilvl w:val="0"/>
                <w:numId w:val="43"/>
              </w:numPr>
              <w:bidi w:val="0"/>
              <w:jc w:val="both"/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rtl w:val="0"/>
                <w:lang w:val="cy-GB"/>
              </w:rPr>
              <w:t>Tystiolaeth o ddangos cyfranogiad mewn goruchwylio ymchwil ôl-raddedig effeithiol, neu’r gallu i wneud hynny.</w:t>
            </w:r>
          </w:p>
        </w:tc>
        <w:tc>
          <w:tcPr>
            <w:tcW w:w="5670" w:type="dxa"/>
            <w:gridSpan w:val="2"/>
          </w:tcPr>
          <w:p w:rsidR="00A80104" w:rsidRPr="00365C60" w:rsidP="00A80104" w14:paraId="46CC3022" w14:textId="7DD59214">
            <w:pPr>
              <w:bidi w:val="0"/>
              <w:rPr>
                <w:rFonts w:eastAsia="Times New Roman" w:asciiTheme="minorHAnsi" w:hAnsiTheme="minorHAnsi"/>
                <w:i/>
                <w:sz w:val="22"/>
                <w:szCs w:val="22"/>
                <w:lang w:val="en-US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Cefnogi a/neu fentora myfyrwyr neu eraill </w:t>
            </w:r>
          </w:p>
        </w:tc>
      </w:tr>
      <w:tr w14:paraId="460F81FF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257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42FB844E" w14:textId="77777777">
            <w:pPr>
              <w:pStyle w:val="ListParagraph"/>
              <w:tabs>
                <w:tab w:val="left" w:pos="990"/>
              </w:tabs>
              <w:bidi w:val="0"/>
              <w:spacing w:before="100" w:beforeAutospacing="1" w:after="100" w:afterAutospacing="1"/>
              <w:ind w:left="0"/>
              <w:jc w:val="both"/>
              <w:rPr>
                <w:rFonts w:eastAsia="Times New Roman" w:asciiTheme="minorHAnsi" w:hAnsiTheme="minorHAnsi" w:cs="Arial"/>
                <w:i/>
                <w:lang w:val="en-US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Addysgu Craidd</w:t>
            </w:r>
          </w:p>
        </w:tc>
      </w:tr>
      <w:tr w14:paraId="365224E5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1085"/>
        </w:trPr>
        <w:tc>
          <w:tcPr>
            <w:tcW w:w="5246" w:type="dxa"/>
            <w:gridSpan w:val="2"/>
          </w:tcPr>
          <w:p w:rsidR="00180B7F" w:rsidRPr="00365C60" w:rsidP="00365C60" w14:paraId="5BFAEF6C" w14:textId="453050BD">
            <w:pPr>
              <w:pStyle w:val="ListParagraph"/>
              <w:numPr>
                <w:ilvl w:val="0"/>
                <w:numId w:val="43"/>
              </w:numPr>
              <w:bidi w:val="0"/>
              <w:jc w:val="both"/>
              <w:rPr>
                <w:rFonts w:eastAsia="Times New Roman" w:asciiTheme="minorHAnsi" w:hAnsiTheme="minorHAnsi" w:cs="Arial"/>
              </w:rPr>
            </w:pPr>
            <w:bookmarkStart w:id="0" w:name="_Hlk94599735"/>
            <w:r w:rsidRPr="00365C60">
              <w:rPr>
                <w:rFonts w:eastAsia="Times New Roman" w:asciiTheme="minorHAnsi" w:hAnsiTheme="minorHAnsi" w:cs="Arial"/>
                <w:rtl w:val="0"/>
                <w:lang w:val="cy-GB"/>
              </w:rPr>
              <w:t xml:space="preserve">Tystiolaeth o addysgu, asesu ac adolygu'n effeithiol fodiwlau neu elfennau eraill o’r portffolio Cemeg a addysgir, neu'r gallu i wneud hyn. </w:t>
            </w:r>
            <w:bookmarkEnd w:id="0"/>
          </w:p>
        </w:tc>
        <w:tc>
          <w:tcPr>
            <w:tcW w:w="5670" w:type="dxa"/>
            <w:gridSpan w:val="2"/>
          </w:tcPr>
          <w:p w:rsidR="00370834" w:rsidRPr="008A0689" w:rsidP="00370834" w14:paraId="7B86D107" w14:textId="03100706">
            <w:pPr>
              <w:tabs>
                <w:tab w:val="left" w:pos="990"/>
              </w:tabs>
              <w:bidi w:val="0"/>
              <w:rPr>
                <w:rFonts w:eastAsia="Times New Roman" w:asciiTheme="minorHAnsi" w:hAnsiTheme="minorHAnsi"/>
                <w:i/>
                <w:sz w:val="22"/>
                <w:szCs w:val="22"/>
                <w:lang w:val="en-US"/>
              </w:rPr>
            </w:pPr>
            <w:r w:rsidRPr="008A0689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– profiad/cymorth addysgu perthnasol i addysgu ym maes </w:t>
            </w:r>
            <w:r w:rsidRPr="008A0689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cemeg </w:t>
            </w:r>
            <w:r w:rsidRPr="008A0689">
              <w:rPr>
                <w:rFonts w:ascii="Calibri" w:eastAsia="Times New Roman" w:hAnsi="Calibri"/>
                <w:i/>
                <w:iCs/>
                <w:sz w:val="22"/>
                <w:szCs w:val="22"/>
                <w:rtl w:val="0"/>
                <w:lang w:val="cy-GB"/>
              </w:rPr>
              <w:t>gyfrifiadol</w:t>
            </w:r>
          </w:p>
          <w:p w:rsidR="00773E3D" w:rsidRPr="00467A4D" w:rsidP="00773E3D" w14:paraId="363B895F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- Ansawdd addysgu da a ddangosir drwy adborth a/neu ddilyniant neu gyfraddau gwell o ran cadw myfyrwyr </w:t>
            </w:r>
          </w:p>
          <w:p w:rsidR="00773E3D" w:rsidRPr="00467A4D" w:rsidP="00773E3D" w14:paraId="2511DEE0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–</w:t>
            </w: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 </w:t>
            </w: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gweithredu</w:t>
            </w: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 fel tiwtor effeithiol neu oruchwylydd prosiect myfyriwr </w:t>
            </w: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â chanlyniadau llwyddiannus.</w:t>
            </w:r>
          </w:p>
          <w:p w:rsidR="00180B7F" w:rsidRPr="00365C60" w:rsidP="00773E3D" w14:paraId="74E95441" w14:textId="399FF74A">
            <w:pPr>
              <w:bidi w:val="0"/>
              <w:rPr>
                <w:rFonts w:eastAsia="Times New Roman" w:asciiTheme="minorHAnsi" w:hAnsiTheme="minorHAnsi"/>
                <w:i/>
                <w:lang w:val="en-US"/>
              </w:rPr>
            </w:pP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–</w:t>
            </w:r>
            <w:r w:rsidRPr="00467A4D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 Ymrwymiad i addysgu arloesol a datblygiad proffesiynol parhaus</w:t>
            </w:r>
          </w:p>
        </w:tc>
      </w:tr>
      <w:tr w14:paraId="20C7BD0C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196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085E3299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Rheoli Craidd</w:t>
            </w:r>
          </w:p>
        </w:tc>
      </w:tr>
      <w:tr w14:paraId="395654FA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666"/>
        </w:trPr>
        <w:tc>
          <w:tcPr>
            <w:tcW w:w="5246" w:type="dxa"/>
            <w:gridSpan w:val="2"/>
          </w:tcPr>
          <w:p w:rsidR="00180B7F" w:rsidRPr="00365C60" w:rsidP="00365C60" w14:paraId="29AC484F" w14:textId="77777777">
            <w:pPr>
              <w:pStyle w:val="ListParagraph"/>
              <w:numPr>
                <w:ilvl w:val="0"/>
                <w:numId w:val="43"/>
              </w:numPr>
              <w:bidi w:val="0"/>
              <w:spacing w:after="0"/>
              <w:jc w:val="both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rtl w:val="0"/>
                <w:lang w:val="cy-GB"/>
              </w:rPr>
              <w:t xml:space="preserve">Cyfrannu'n weithredol at benderfyniadau a gweithgareddau mewn uned neu sefydliad academaidd, y tu hwnt i ymrwymiadau ymchwil ac addysgu personol. </w:t>
            </w:r>
          </w:p>
        </w:tc>
        <w:tc>
          <w:tcPr>
            <w:tcW w:w="5670" w:type="dxa"/>
            <w:gridSpan w:val="2"/>
          </w:tcPr>
          <w:p w:rsidR="00180B7F" w:rsidRPr="00365C60" w:rsidP="00365C60" w14:paraId="515EB519" w14:textId="77777777">
            <w:pPr>
              <w:tabs>
                <w:tab w:val="left" w:pos="99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Enghreifftiau sy’n dangos cyfraniad ac effaith personol.</w:t>
            </w:r>
            <w:r w:rsidRPr="00365C60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 xml:space="preserve"> </w:t>
            </w:r>
          </w:p>
        </w:tc>
      </w:tr>
      <w:tr w14:paraId="5FF11663" w14:textId="77777777" w:rsidTr="00102046">
        <w:tblPrEx>
          <w:tblW w:w="10916" w:type="dxa"/>
          <w:tblInd w:w="-176" w:type="dxa"/>
          <w:tblLayout w:type="fixed"/>
          <w:tblLook w:val="04A0"/>
        </w:tblPrEx>
        <w:trPr>
          <w:trHeight w:val="279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102046" w:rsidRPr="00DF5BCC" w:rsidP="00365C60" w14:paraId="4006CCF1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DF5BCC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rtl w:val="0"/>
                <w:lang w:val="cy-GB"/>
              </w:rPr>
              <w:t>Penodol i'r Pwnc</w:t>
            </w:r>
          </w:p>
        </w:tc>
      </w:tr>
      <w:tr w14:paraId="3C6144AA" w14:textId="77777777" w:rsidTr="00DF5BCC">
        <w:tblPrEx>
          <w:tblW w:w="10916" w:type="dxa"/>
          <w:tblInd w:w="-176" w:type="dxa"/>
          <w:tblLayout w:type="fixed"/>
          <w:tblLook w:val="04A0"/>
        </w:tblPrEx>
        <w:trPr>
          <w:trHeight w:val="557"/>
        </w:trPr>
        <w:tc>
          <w:tcPr>
            <w:tcW w:w="5246" w:type="dxa"/>
            <w:gridSpan w:val="2"/>
          </w:tcPr>
          <w:p w:rsidR="00773E3D" w:rsidRPr="00365C60" w:rsidP="00773E3D" w14:paraId="3EF4AFD4" w14:textId="497986DC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bidi w:val="0"/>
              <w:jc w:val="both"/>
              <w:rPr>
                <w:rFonts w:asciiTheme="minorHAnsi" w:hAnsiTheme="minorHAnsi"/>
              </w:rPr>
            </w:pPr>
            <w:r>
              <w:rPr>
                <w:rtl w:val="0"/>
                <w:lang w:val="cy-GB"/>
              </w:rPr>
              <w:t>Ymchwil ragorol mewn unrhyw faes cemeg gyfrifiadol gymhwysol a modelu moleciwlaidd, er rhoddir blaenoriaeth i ymgeiswyr gyda ffocws penodol ar o leiaf un o'r meysydd cynaeafu a storio ynni, deunyddiau (gan gynnwys bioddeunyddiau), lled-ddargludyddion, cemeg feddygol a'r defnydd o ddysgu peirianyddol ac AI ar gyfer darganfyddiadau cemegol.</w:t>
            </w:r>
          </w:p>
        </w:tc>
        <w:tc>
          <w:tcPr>
            <w:tcW w:w="5670" w:type="dxa"/>
            <w:gridSpan w:val="2"/>
          </w:tcPr>
          <w:p w:rsidR="00773E3D" w:rsidP="00773E3D" w14:paraId="3C419BD9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4"/>
              </w:rPr>
            </w:pPr>
            <w:r>
              <w:rPr>
                <w:rFonts w:ascii="Calibri" w:hAnsi="Calibri"/>
                <w:i/>
                <w:iCs/>
                <w:sz w:val="22"/>
                <w:szCs w:val="24"/>
                <w:rtl w:val="0"/>
                <w:lang w:val="cy-GB"/>
              </w:rPr>
              <w:t>Ffurflen Gais/CV</w:t>
            </w:r>
          </w:p>
          <w:p w:rsidR="00773E3D" w:rsidRPr="00150E66" w:rsidP="00773E3D" w14:paraId="3C04AAF9" w14:textId="77777777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0E66">
              <w:rPr>
                <w:rFonts w:ascii="Calibri" w:hAnsi="Calibri" w:cstheme="minorHAnsi"/>
                <w:i/>
                <w:iCs/>
                <w:sz w:val="22"/>
                <w:szCs w:val="22"/>
                <w:rtl w:val="0"/>
                <w:lang w:val="cy-GB"/>
              </w:rPr>
              <w:t xml:space="preserve">- Rhaid i ymgeisydd ddangos gallu a pharodrwydd i gyflwyno addysgu ar draws ystod o bynciau a nodir yn </w:t>
            </w:r>
            <w:r>
              <w:fldChar w:fldCharType="begin"/>
            </w:r>
            <w:r>
              <w:instrText xml:space="preserve"> HYPERLINK "https://www.swansea.ac.uk/chemistry/" </w:instrText>
            </w:r>
            <w:r>
              <w:fldChar w:fldCharType="separate"/>
            </w:r>
            <w:r w:rsidRPr="007C2B9E">
              <w:rPr>
                <w:rStyle w:val="Hyperlink"/>
                <w:rFonts w:ascii="Calibri" w:hAnsi="Calibri" w:cstheme="minorHAnsi"/>
                <w:i w:val="0"/>
                <w:sz w:val="22"/>
                <w:szCs w:val="22"/>
                <w:u w:val="none"/>
                <w:rtl w:val="0"/>
                <w:lang w:val="cy-GB"/>
              </w:rPr>
              <w:t>rhaglenni gradd Cemeg Prifysgol Abertawe</w:t>
            </w:r>
            <w:r>
              <w:fldChar w:fldCharType="end"/>
            </w:r>
            <w:r>
              <w:rPr>
                <w:rFonts w:ascii="Calibri" w:hAnsi="Calibri" w:cstheme="minorHAnsi"/>
                <w:i w:val="0"/>
                <w:sz w:val="22"/>
                <w:szCs w:val="22"/>
                <w:rtl w:val="0"/>
                <w:lang w:val="cy-GB"/>
              </w:rPr>
              <w:t>.</w:t>
            </w:r>
          </w:p>
          <w:p w:rsidR="00773E3D" w:rsidRPr="00773E3D" w:rsidP="00773E3D" w14:paraId="4C0A2604" w14:textId="78BA9952">
            <w:pPr>
              <w:tabs>
                <w:tab w:val="left" w:pos="1200"/>
              </w:tabs>
              <w:bidi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1536">
              <w:rPr>
                <w:rFonts w:ascii="Calibri" w:hAnsi="Calibri" w:cstheme="minorHAnsi"/>
                <w:i/>
                <w:iCs/>
                <w:sz w:val="22"/>
                <w:szCs w:val="22"/>
                <w:rtl w:val="0"/>
                <w:lang w:val="cy-GB"/>
              </w:rPr>
              <w:t xml:space="preserve">- Profiad </w:t>
            </w:r>
            <w:r w:rsidRPr="00EC1536">
              <w:rPr>
                <w:rFonts w:ascii="Calibri" w:hAnsi="Calibri" w:cstheme="minorHAnsi"/>
                <w:i/>
                <w:iCs/>
                <w:sz w:val="22"/>
                <w:szCs w:val="22"/>
                <w:rtl w:val="0"/>
                <w:lang w:val="cy-GB"/>
              </w:rPr>
              <w:t>dangosadwy</w:t>
            </w:r>
            <w:r w:rsidRPr="00EC1536">
              <w:rPr>
                <w:rFonts w:ascii="Calibri" w:hAnsi="Calibri" w:cstheme="minorHAnsi"/>
                <w:i/>
                <w:iCs/>
                <w:sz w:val="22"/>
                <w:szCs w:val="22"/>
                <w:rtl w:val="0"/>
                <w:lang w:val="cy-GB"/>
              </w:rPr>
              <w:t xml:space="preserve"> o weithio/ymchwilio/addysgu ym maes Cemeg </w:t>
            </w:r>
            <w:r w:rsidRPr="00EC1536">
              <w:rPr>
                <w:rFonts w:ascii="Calibri" w:hAnsi="Calibri" w:cstheme="minorHAnsi"/>
                <w:i/>
                <w:iCs/>
                <w:sz w:val="22"/>
                <w:szCs w:val="22"/>
                <w:rtl w:val="0"/>
                <w:lang w:val="cy-GB"/>
              </w:rPr>
              <w:t xml:space="preserve">gyfrifiadol </w:t>
            </w:r>
            <w:r w:rsidRPr="00EC1536">
              <w:rPr>
                <w:rFonts w:ascii="Calibri" w:hAnsi="Calibri" w:cstheme="minorHAnsi"/>
                <w:i/>
                <w:iCs/>
                <w:sz w:val="22"/>
                <w:szCs w:val="22"/>
                <w:rtl w:val="0"/>
                <w:lang w:val="cy-GB"/>
              </w:rPr>
              <w:t>gymhwysol a modelu moleciwlaidd naill ai yn y byd academaidd neu ddiwydiant.</w:t>
            </w:r>
          </w:p>
        </w:tc>
      </w:tr>
      <w:tr w14:paraId="1BBACCD8" w14:textId="77777777" w:rsidTr="00336A79">
        <w:tblPrEx>
          <w:tblW w:w="10916" w:type="dxa"/>
          <w:tblInd w:w="-176" w:type="dxa"/>
          <w:tblLayout w:type="fixed"/>
          <w:tblLook w:val="04A0"/>
        </w:tblPrEx>
        <w:trPr>
          <w:trHeight w:val="275"/>
        </w:trPr>
        <w:tc>
          <w:tcPr>
            <w:tcW w:w="10916" w:type="dxa"/>
            <w:gridSpan w:val="4"/>
            <w:shd w:val="clear" w:color="auto" w:fill="366091" w:themeFill="accent1" w:themeFillShade="BF"/>
          </w:tcPr>
          <w:p w:rsidR="00336A79" w:rsidRPr="00210BEA" w:rsidP="00336A79" w14:paraId="7A940618" w14:textId="2E75C45C">
            <w:pPr>
              <w:tabs>
                <w:tab w:val="left" w:pos="1200"/>
              </w:tabs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 xml:space="preserve">Y Gymraeg </w:t>
            </w:r>
          </w:p>
        </w:tc>
      </w:tr>
      <w:tr w14:paraId="2C6BCB44" w14:textId="77777777" w:rsidTr="00CA5630">
        <w:tblPrEx>
          <w:tblW w:w="10916" w:type="dxa"/>
          <w:tblInd w:w="-176" w:type="dxa"/>
          <w:tblLayout w:type="fixed"/>
          <w:tblLook w:val="04A0"/>
        </w:tblPrEx>
        <w:trPr>
          <w:trHeight w:val="557"/>
        </w:trPr>
        <w:tc>
          <w:tcPr>
            <w:tcW w:w="10916" w:type="dxa"/>
            <w:gridSpan w:val="4"/>
          </w:tcPr>
          <w:p w:rsidR="007C79C1" w:rsidRPr="00140D43" w:rsidP="007C79C1" w14:paraId="5E99D863" w14:textId="627A79A4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E15E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Lefel 1 – 'ychydig' (nid oes angen i chi siarad Cymraeg er mwyn cyflwyno cais am y swydd hon) e.e. ynganu geiriau, enwau lleoedd ac enwau adrannau yn Gymraeg. </w:t>
            </w:r>
            <w:r w:rsidRPr="00E15E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Gallu ateb y ffôn yn Gymraeg (bore da/pnawn da). </w:t>
            </w:r>
            <w:r w:rsidRPr="00E15E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Gallu defnyddio/dysgu geiriau ac ymadroddion sylfaenol pob dydd (diolch, os gwelwch yn dda, esgusodwch fi). </w:t>
            </w:r>
            <w:r w:rsidRPr="00E15E45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7C79C1" w:rsidRPr="00A51CAD" w:rsidP="007C79C1" w14:paraId="4F0F3597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7C79C1" w:rsidP="007C79C1" w14:paraId="1587C3B7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A3478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  <w:p w:rsidR="00336A79" w:rsidRPr="00365C60" w:rsidP="00336A79" w14:paraId="3B75AC9D" w14:textId="146BFF80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14:paraId="7E69EC52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532"/>
        </w:trPr>
        <w:tc>
          <w:tcPr>
            <w:tcW w:w="5246" w:type="dxa"/>
            <w:gridSpan w:val="2"/>
            <w:tcBorders>
              <w:left w:val="nil"/>
              <w:bottom w:val="nil"/>
              <w:right w:val="nil"/>
            </w:tcBorders>
          </w:tcPr>
          <w:p w:rsidR="00336A79" w:rsidRPr="005E7162" w:rsidP="00336A79" w14:paraId="3E61CD70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336A79" w:rsidRPr="00A54DAE" w:rsidP="00336A79" w14:paraId="49132471" w14:textId="77777777">
            <w:pPr>
              <w:tabs>
                <w:tab w:val="left" w:pos="1200"/>
              </w:tabs>
              <w:bidi w:val="0"/>
              <w:rPr>
                <w:rFonts w:asciiTheme="minorHAnsi" w:hAnsiTheme="minorHAnsi"/>
                <w:i/>
                <w:sz w:val="22"/>
                <w:szCs w:val="24"/>
              </w:rPr>
            </w:pPr>
          </w:p>
        </w:tc>
      </w:tr>
      <w:tr w14:paraId="6CD6BACF" w14:textId="77777777" w:rsidTr="00365C60">
        <w:tblPrEx>
          <w:tblW w:w="10916" w:type="dxa"/>
          <w:tblInd w:w="-176" w:type="dxa"/>
          <w:tblLayout w:type="fixed"/>
          <w:tblLook w:val="04A0"/>
        </w:tblPrEx>
        <w:trPr>
          <w:trHeight w:val="532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409C0DDC" w14:textId="77777777">
            <w:pPr>
              <w:pStyle w:val="ListParagraph"/>
              <w:tabs>
                <w:tab w:val="left" w:pos="1200"/>
              </w:tabs>
              <w:bidi w:val="0"/>
              <w:spacing w:after="0"/>
              <w:ind w:left="360"/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354883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3DCC855E" w14:textId="77777777">
            <w:pPr>
              <w:pStyle w:val="ListParagraph"/>
              <w:tabs>
                <w:tab w:val="left" w:pos="1200"/>
              </w:tabs>
              <w:bidi w:val="0"/>
              <w:spacing w:after="0"/>
              <w:ind w:left="360"/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059303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6A2535D2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089436" name="Picture 7" descr="H:\Vacancies\Masters\logos\HR Research Excellence.jpe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6A79" w:rsidRPr="00A54DAE" w:rsidP="00336A79" w14:paraId="308EAEDA" w14:textId="77777777">
            <w:pPr>
              <w:tabs>
                <w:tab w:val="left" w:pos="1200"/>
              </w:tabs>
              <w:bidi w:val="0"/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151825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CD1" w:rsidP="00180B7F" w14:paraId="04C97A55" w14:textId="77777777">
      <w:pPr>
        <w:bidi w:val="0"/>
        <w:spacing w:before="100" w:beforeAutospacing="1" w:after="100" w:afterAutospacing="1"/>
      </w:pPr>
    </w:p>
    <w:sectPr w:rsidSect="00186C9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0F6F1346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E55F54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E55F54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33431EA6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A64F8E"/>
    <w:multiLevelType w:val="hybridMultilevel"/>
    <w:tmpl w:val="12BC29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21A6"/>
    <w:multiLevelType w:val="hybridMultilevel"/>
    <w:tmpl w:val="16AC2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32FDE"/>
    <w:multiLevelType w:val="hybridMultilevel"/>
    <w:tmpl w:val="DFA43D7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7F54C4"/>
    <w:multiLevelType w:val="hybridMultilevel"/>
    <w:tmpl w:val="537414A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02EFD"/>
    <w:multiLevelType w:val="hybridMultilevel"/>
    <w:tmpl w:val="D74652D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776447"/>
    <w:multiLevelType w:val="hybridMultilevel"/>
    <w:tmpl w:val="25103B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42DD2"/>
    <w:multiLevelType w:val="hybridMultilevel"/>
    <w:tmpl w:val="18164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2E1161"/>
    <w:multiLevelType w:val="hybridMultilevel"/>
    <w:tmpl w:val="899A3E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A812BF"/>
    <w:multiLevelType w:val="hybridMultilevel"/>
    <w:tmpl w:val="899A3E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F423B7"/>
    <w:multiLevelType w:val="hybridMultilevel"/>
    <w:tmpl w:val="620269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80390"/>
    <w:multiLevelType w:val="hybridMultilevel"/>
    <w:tmpl w:val="BE6A886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EB94710"/>
    <w:multiLevelType w:val="hybridMultilevel"/>
    <w:tmpl w:val="3048BDF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7"/>
  </w:num>
  <w:num w:numId="3">
    <w:abstractNumId w:val="19"/>
  </w:num>
  <w:num w:numId="4">
    <w:abstractNumId w:val="44"/>
  </w:num>
  <w:num w:numId="5">
    <w:abstractNumId w:val="9"/>
  </w:num>
  <w:num w:numId="6">
    <w:abstractNumId w:val="28"/>
  </w:num>
  <w:num w:numId="7">
    <w:abstractNumId w:val="15"/>
  </w:num>
  <w:num w:numId="8">
    <w:abstractNumId w:val="46"/>
  </w:num>
  <w:num w:numId="9">
    <w:abstractNumId w:val="45"/>
  </w:num>
  <w:num w:numId="10">
    <w:abstractNumId w:val="37"/>
  </w:num>
  <w:num w:numId="11">
    <w:abstractNumId w:val="3"/>
  </w:num>
  <w:num w:numId="12">
    <w:abstractNumId w:val="33"/>
  </w:num>
  <w:num w:numId="13">
    <w:abstractNumId w:val="5"/>
  </w:num>
  <w:num w:numId="14">
    <w:abstractNumId w:val="41"/>
  </w:num>
  <w:num w:numId="15">
    <w:abstractNumId w:val="7"/>
  </w:num>
  <w:num w:numId="16">
    <w:abstractNumId w:val="22"/>
  </w:num>
  <w:num w:numId="17">
    <w:abstractNumId w:val="43"/>
  </w:num>
  <w:num w:numId="18">
    <w:abstractNumId w:val="40"/>
  </w:num>
  <w:num w:numId="19">
    <w:abstractNumId w:val="2"/>
  </w:num>
  <w:num w:numId="20">
    <w:abstractNumId w:val="13"/>
  </w:num>
  <w:num w:numId="21">
    <w:abstractNumId w:val="6"/>
  </w:num>
  <w:num w:numId="22">
    <w:abstractNumId w:val="0"/>
  </w:num>
  <w:num w:numId="23">
    <w:abstractNumId w:val="27"/>
  </w:num>
  <w:num w:numId="24">
    <w:abstractNumId w:val="25"/>
  </w:num>
  <w:num w:numId="25">
    <w:abstractNumId w:val="1"/>
  </w:num>
  <w:num w:numId="26">
    <w:abstractNumId w:val="8"/>
  </w:num>
  <w:num w:numId="27">
    <w:abstractNumId w:val="42"/>
  </w:num>
  <w:num w:numId="28">
    <w:abstractNumId w:val="30"/>
  </w:num>
  <w:num w:numId="29">
    <w:abstractNumId w:val="36"/>
  </w:num>
  <w:num w:numId="30">
    <w:abstractNumId w:val="18"/>
  </w:num>
  <w:num w:numId="31">
    <w:abstractNumId w:val="39"/>
  </w:num>
  <w:num w:numId="32">
    <w:abstractNumId w:val="4"/>
  </w:num>
  <w:num w:numId="33">
    <w:abstractNumId w:val="49"/>
  </w:num>
  <w:num w:numId="34">
    <w:abstractNumId w:val="34"/>
  </w:num>
  <w:num w:numId="35">
    <w:abstractNumId w:val="24"/>
  </w:num>
  <w:num w:numId="36">
    <w:abstractNumId w:val="32"/>
  </w:num>
  <w:num w:numId="37">
    <w:abstractNumId w:val="12"/>
  </w:num>
  <w:num w:numId="38">
    <w:abstractNumId w:val="17"/>
  </w:num>
  <w:num w:numId="39">
    <w:abstractNumId w:val="21"/>
  </w:num>
  <w:num w:numId="40">
    <w:abstractNumId w:val="31"/>
  </w:num>
  <w:num w:numId="41">
    <w:abstractNumId w:val="23"/>
  </w:num>
  <w:num w:numId="42">
    <w:abstractNumId w:val="35"/>
  </w:num>
  <w:num w:numId="43">
    <w:abstractNumId w:val="26"/>
  </w:num>
  <w:num w:numId="44">
    <w:abstractNumId w:val="38"/>
  </w:num>
  <w:num w:numId="45">
    <w:abstractNumId w:val="16"/>
  </w:num>
  <w:num w:numId="46">
    <w:abstractNumId w:val="10"/>
  </w:num>
  <w:num w:numId="47">
    <w:abstractNumId w:val="48"/>
  </w:num>
  <w:num w:numId="48">
    <w:abstractNumId w:val="20"/>
  </w:num>
  <w:num w:numId="49">
    <w:abstractNumId w:val="1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210E9"/>
    <w:rsid w:val="000309C6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E5E21"/>
    <w:rsid w:val="000E6FC6"/>
    <w:rsid w:val="00100B79"/>
    <w:rsid w:val="00102046"/>
    <w:rsid w:val="001020B5"/>
    <w:rsid w:val="00102EC3"/>
    <w:rsid w:val="001056D6"/>
    <w:rsid w:val="00105D8C"/>
    <w:rsid w:val="00114408"/>
    <w:rsid w:val="00122464"/>
    <w:rsid w:val="001316E0"/>
    <w:rsid w:val="00136537"/>
    <w:rsid w:val="00140D43"/>
    <w:rsid w:val="001467E2"/>
    <w:rsid w:val="00146CD8"/>
    <w:rsid w:val="00150E66"/>
    <w:rsid w:val="0015735D"/>
    <w:rsid w:val="00164ED5"/>
    <w:rsid w:val="00166B5E"/>
    <w:rsid w:val="00166BD2"/>
    <w:rsid w:val="00171929"/>
    <w:rsid w:val="0017396B"/>
    <w:rsid w:val="00174E42"/>
    <w:rsid w:val="00180B7F"/>
    <w:rsid w:val="00180DBB"/>
    <w:rsid w:val="00184232"/>
    <w:rsid w:val="00186C9E"/>
    <w:rsid w:val="00187775"/>
    <w:rsid w:val="00191023"/>
    <w:rsid w:val="00192C84"/>
    <w:rsid w:val="00194F27"/>
    <w:rsid w:val="00195FF0"/>
    <w:rsid w:val="001B63F3"/>
    <w:rsid w:val="001D1526"/>
    <w:rsid w:val="001D3E13"/>
    <w:rsid w:val="001E1D09"/>
    <w:rsid w:val="002029C1"/>
    <w:rsid w:val="002035A5"/>
    <w:rsid w:val="00206C5E"/>
    <w:rsid w:val="00210BEA"/>
    <w:rsid w:val="00212A33"/>
    <w:rsid w:val="00212E08"/>
    <w:rsid w:val="0022181C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85320"/>
    <w:rsid w:val="00290918"/>
    <w:rsid w:val="00296E2D"/>
    <w:rsid w:val="002978DC"/>
    <w:rsid w:val="002A37F7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2C9"/>
    <w:rsid w:val="00315B70"/>
    <w:rsid w:val="00315F9E"/>
    <w:rsid w:val="00320D98"/>
    <w:rsid w:val="00322D0B"/>
    <w:rsid w:val="003242A4"/>
    <w:rsid w:val="00332CF1"/>
    <w:rsid w:val="00336A79"/>
    <w:rsid w:val="003403F7"/>
    <w:rsid w:val="00342CD6"/>
    <w:rsid w:val="00343462"/>
    <w:rsid w:val="003529EB"/>
    <w:rsid w:val="00365C60"/>
    <w:rsid w:val="00370834"/>
    <w:rsid w:val="00372510"/>
    <w:rsid w:val="003812E5"/>
    <w:rsid w:val="00381EF9"/>
    <w:rsid w:val="00391403"/>
    <w:rsid w:val="00393054"/>
    <w:rsid w:val="003A024F"/>
    <w:rsid w:val="003A2833"/>
    <w:rsid w:val="003A2F91"/>
    <w:rsid w:val="003A3AE2"/>
    <w:rsid w:val="003A4E26"/>
    <w:rsid w:val="003A67FB"/>
    <w:rsid w:val="003A6CD1"/>
    <w:rsid w:val="003B2354"/>
    <w:rsid w:val="003B27D3"/>
    <w:rsid w:val="003B6BA9"/>
    <w:rsid w:val="003B7784"/>
    <w:rsid w:val="003E3697"/>
    <w:rsid w:val="003F05A7"/>
    <w:rsid w:val="003F2E66"/>
    <w:rsid w:val="00402B41"/>
    <w:rsid w:val="0040418E"/>
    <w:rsid w:val="00411795"/>
    <w:rsid w:val="00411FEC"/>
    <w:rsid w:val="00423C6E"/>
    <w:rsid w:val="00424B16"/>
    <w:rsid w:val="00425D37"/>
    <w:rsid w:val="0042687D"/>
    <w:rsid w:val="00431BB4"/>
    <w:rsid w:val="00441CFA"/>
    <w:rsid w:val="004541A5"/>
    <w:rsid w:val="00454247"/>
    <w:rsid w:val="004641BC"/>
    <w:rsid w:val="00464407"/>
    <w:rsid w:val="00465A16"/>
    <w:rsid w:val="00466B84"/>
    <w:rsid w:val="00467A4D"/>
    <w:rsid w:val="004716E7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E3C14"/>
    <w:rsid w:val="004E5CC7"/>
    <w:rsid w:val="004F076B"/>
    <w:rsid w:val="004F55E6"/>
    <w:rsid w:val="00502449"/>
    <w:rsid w:val="00502939"/>
    <w:rsid w:val="00513FDD"/>
    <w:rsid w:val="00524CF8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2F36"/>
    <w:rsid w:val="00596546"/>
    <w:rsid w:val="00597794"/>
    <w:rsid w:val="00597F67"/>
    <w:rsid w:val="005B1A04"/>
    <w:rsid w:val="005B4AD3"/>
    <w:rsid w:val="005C0F1A"/>
    <w:rsid w:val="005C1D6F"/>
    <w:rsid w:val="005C37D4"/>
    <w:rsid w:val="005C5A1C"/>
    <w:rsid w:val="005D7325"/>
    <w:rsid w:val="005E7162"/>
    <w:rsid w:val="005F5AEB"/>
    <w:rsid w:val="005F67E2"/>
    <w:rsid w:val="005F7C7D"/>
    <w:rsid w:val="00601312"/>
    <w:rsid w:val="00603529"/>
    <w:rsid w:val="0060451F"/>
    <w:rsid w:val="006131CF"/>
    <w:rsid w:val="00616902"/>
    <w:rsid w:val="0062109A"/>
    <w:rsid w:val="00625259"/>
    <w:rsid w:val="0062545A"/>
    <w:rsid w:val="00626861"/>
    <w:rsid w:val="00626E4F"/>
    <w:rsid w:val="00635276"/>
    <w:rsid w:val="00637C74"/>
    <w:rsid w:val="0064784C"/>
    <w:rsid w:val="006534C1"/>
    <w:rsid w:val="006564CD"/>
    <w:rsid w:val="0065754A"/>
    <w:rsid w:val="00663030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21101"/>
    <w:rsid w:val="007241F0"/>
    <w:rsid w:val="00724E14"/>
    <w:rsid w:val="00746D69"/>
    <w:rsid w:val="00761195"/>
    <w:rsid w:val="00762895"/>
    <w:rsid w:val="007678C8"/>
    <w:rsid w:val="00771A17"/>
    <w:rsid w:val="0077392A"/>
    <w:rsid w:val="00773E3D"/>
    <w:rsid w:val="00774D92"/>
    <w:rsid w:val="00777596"/>
    <w:rsid w:val="00780EE8"/>
    <w:rsid w:val="00790AC8"/>
    <w:rsid w:val="00793B7F"/>
    <w:rsid w:val="00793FB5"/>
    <w:rsid w:val="00795733"/>
    <w:rsid w:val="00796156"/>
    <w:rsid w:val="007A3478"/>
    <w:rsid w:val="007B0179"/>
    <w:rsid w:val="007B2F44"/>
    <w:rsid w:val="007B5C73"/>
    <w:rsid w:val="007B651D"/>
    <w:rsid w:val="007C2B9E"/>
    <w:rsid w:val="007C74FB"/>
    <w:rsid w:val="007C79C1"/>
    <w:rsid w:val="007D4FEA"/>
    <w:rsid w:val="007D593D"/>
    <w:rsid w:val="007E534E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094"/>
    <w:rsid w:val="00831B26"/>
    <w:rsid w:val="00840CC2"/>
    <w:rsid w:val="00841D4E"/>
    <w:rsid w:val="00846380"/>
    <w:rsid w:val="00846D4D"/>
    <w:rsid w:val="00847CAC"/>
    <w:rsid w:val="00850C7F"/>
    <w:rsid w:val="00861360"/>
    <w:rsid w:val="00864D8C"/>
    <w:rsid w:val="008678F4"/>
    <w:rsid w:val="00867CA8"/>
    <w:rsid w:val="00876A2B"/>
    <w:rsid w:val="008779CB"/>
    <w:rsid w:val="008815A2"/>
    <w:rsid w:val="00883B48"/>
    <w:rsid w:val="008905E2"/>
    <w:rsid w:val="008A0689"/>
    <w:rsid w:val="008A0CB0"/>
    <w:rsid w:val="008A3412"/>
    <w:rsid w:val="008B0243"/>
    <w:rsid w:val="008B228E"/>
    <w:rsid w:val="008B560B"/>
    <w:rsid w:val="008B6535"/>
    <w:rsid w:val="008C2238"/>
    <w:rsid w:val="008C2FFB"/>
    <w:rsid w:val="008D13DB"/>
    <w:rsid w:val="008D7520"/>
    <w:rsid w:val="00903A15"/>
    <w:rsid w:val="00904540"/>
    <w:rsid w:val="009156FF"/>
    <w:rsid w:val="009179DE"/>
    <w:rsid w:val="00921FEB"/>
    <w:rsid w:val="00933256"/>
    <w:rsid w:val="00957F6A"/>
    <w:rsid w:val="00964A85"/>
    <w:rsid w:val="00975A03"/>
    <w:rsid w:val="00982607"/>
    <w:rsid w:val="00985D5B"/>
    <w:rsid w:val="00995043"/>
    <w:rsid w:val="00995A7A"/>
    <w:rsid w:val="009A4E11"/>
    <w:rsid w:val="009A60BE"/>
    <w:rsid w:val="009A7160"/>
    <w:rsid w:val="009A7443"/>
    <w:rsid w:val="009B338E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A00256"/>
    <w:rsid w:val="00A044DE"/>
    <w:rsid w:val="00A10EFE"/>
    <w:rsid w:val="00A16319"/>
    <w:rsid w:val="00A240FB"/>
    <w:rsid w:val="00A25463"/>
    <w:rsid w:val="00A259AD"/>
    <w:rsid w:val="00A27E7B"/>
    <w:rsid w:val="00A3328A"/>
    <w:rsid w:val="00A35F9F"/>
    <w:rsid w:val="00A51CAD"/>
    <w:rsid w:val="00A54DAE"/>
    <w:rsid w:val="00A61648"/>
    <w:rsid w:val="00A71A31"/>
    <w:rsid w:val="00A76124"/>
    <w:rsid w:val="00A76C05"/>
    <w:rsid w:val="00A774D2"/>
    <w:rsid w:val="00A80104"/>
    <w:rsid w:val="00AD34B6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63D8E"/>
    <w:rsid w:val="00B71EC8"/>
    <w:rsid w:val="00B73127"/>
    <w:rsid w:val="00B75E13"/>
    <w:rsid w:val="00B80E4A"/>
    <w:rsid w:val="00B91EE8"/>
    <w:rsid w:val="00B9592D"/>
    <w:rsid w:val="00BA120F"/>
    <w:rsid w:val="00BA44ED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65BF2"/>
    <w:rsid w:val="00C70DEF"/>
    <w:rsid w:val="00C75D04"/>
    <w:rsid w:val="00C76EFF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CF5EA0"/>
    <w:rsid w:val="00D00FF6"/>
    <w:rsid w:val="00D22A3B"/>
    <w:rsid w:val="00D24706"/>
    <w:rsid w:val="00D24960"/>
    <w:rsid w:val="00D25B96"/>
    <w:rsid w:val="00D32878"/>
    <w:rsid w:val="00D4206A"/>
    <w:rsid w:val="00D44085"/>
    <w:rsid w:val="00D47F16"/>
    <w:rsid w:val="00D50198"/>
    <w:rsid w:val="00D50481"/>
    <w:rsid w:val="00D5355A"/>
    <w:rsid w:val="00D577AE"/>
    <w:rsid w:val="00D64DDF"/>
    <w:rsid w:val="00D65966"/>
    <w:rsid w:val="00D70A83"/>
    <w:rsid w:val="00D72C5E"/>
    <w:rsid w:val="00D72C97"/>
    <w:rsid w:val="00D7368C"/>
    <w:rsid w:val="00D83AB4"/>
    <w:rsid w:val="00D840BF"/>
    <w:rsid w:val="00D857C5"/>
    <w:rsid w:val="00D87627"/>
    <w:rsid w:val="00DA0688"/>
    <w:rsid w:val="00DB09BA"/>
    <w:rsid w:val="00DB217B"/>
    <w:rsid w:val="00DB22CD"/>
    <w:rsid w:val="00DB3E32"/>
    <w:rsid w:val="00DB6D61"/>
    <w:rsid w:val="00DC0921"/>
    <w:rsid w:val="00DC5550"/>
    <w:rsid w:val="00DC58DC"/>
    <w:rsid w:val="00DC609D"/>
    <w:rsid w:val="00DC7C8A"/>
    <w:rsid w:val="00DD52FE"/>
    <w:rsid w:val="00DD6A48"/>
    <w:rsid w:val="00DD6A8B"/>
    <w:rsid w:val="00DE0A40"/>
    <w:rsid w:val="00DE3DF8"/>
    <w:rsid w:val="00DE6FC9"/>
    <w:rsid w:val="00DE7919"/>
    <w:rsid w:val="00DF014B"/>
    <w:rsid w:val="00DF14C8"/>
    <w:rsid w:val="00DF3FB9"/>
    <w:rsid w:val="00DF5BCC"/>
    <w:rsid w:val="00E00BFF"/>
    <w:rsid w:val="00E12DB3"/>
    <w:rsid w:val="00E1571C"/>
    <w:rsid w:val="00E15E45"/>
    <w:rsid w:val="00E2095A"/>
    <w:rsid w:val="00E23FBB"/>
    <w:rsid w:val="00E24FA5"/>
    <w:rsid w:val="00E26202"/>
    <w:rsid w:val="00E26A77"/>
    <w:rsid w:val="00E27289"/>
    <w:rsid w:val="00E27E69"/>
    <w:rsid w:val="00E32BF7"/>
    <w:rsid w:val="00E36080"/>
    <w:rsid w:val="00E40F15"/>
    <w:rsid w:val="00E46F48"/>
    <w:rsid w:val="00E52986"/>
    <w:rsid w:val="00E55F54"/>
    <w:rsid w:val="00E7019D"/>
    <w:rsid w:val="00E72C67"/>
    <w:rsid w:val="00E83995"/>
    <w:rsid w:val="00E9222C"/>
    <w:rsid w:val="00E92E36"/>
    <w:rsid w:val="00E93CD6"/>
    <w:rsid w:val="00EA0CA5"/>
    <w:rsid w:val="00EA1FB7"/>
    <w:rsid w:val="00EA4BFB"/>
    <w:rsid w:val="00EA6580"/>
    <w:rsid w:val="00EB5429"/>
    <w:rsid w:val="00EB5FFF"/>
    <w:rsid w:val="00EC02F6"/>
    <w:rsid w:val="00EC153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2FF"/>
    <w:rsid w:val="00F77EBA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  <w:rsid w:val="4590D15A"/>
  </w:rsids>
  <w:docVars>
    <w:docVar w:name="__Grammarly_42___1" w:val="H4sIAAAAAAAEAKtWcslP9kxRslIyNDY2tjA1sTQ0MzQyMzY3NLFU0lEKTi0uzszPAykwrAUAYEhVOiwAAAA="/>
    <w:docVar w:name="__Grammarly_42____i" w:val="H4sIAAAAAAAEAKtWckksSQxILCpxzi/NK1GyMqwFAAEhoTITAAAA"/>
  </w:docVar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F937A73-040B-4261-85C5-06750CCF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0410-2D54-4BDE-A42F-85C2FE94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Joel Loveridge</cp:lastModifiedBy>
  <cp:revision>18</cp:revision>
  <cp:lastPrinted>2015-08-26T11:17:00Z</cp:lastPrinted>
  <dcterms:created xsi:type="dcterms:W3CDTF">2024-04-14T13:19:00Z</dcterms:created>
  <dcterms:modified xsi:type="dcterms:W3CDTF">2024-04-16T20:07:00Z</dcterms:modified>
</cp:coreProperties>
</file>